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46" w:rsidRPr="001C2F46" w:rsidRDefault="001C2F46" w:rsidP="001C2F46">
      <w:pPr>
        <w:shd w:val="clear" w:color="auto" w:fill="FFFFFF"/>
        <w:spacing w:after="123" w:line="185" w:lineRule="atLeast"/>
        <w:outlineLvl w:val="2"/>
        <w:rPr>
          <w:rFonts w:eastAsia="Times New Roman" w:cstheme="minorHAnsi"/>
          <w:color w:val="404B56"/>
          <w:sz w:val="24"/>
          <w:szCs w:val="24"/>
          <w:lang w:eastAsia="fr-FR"/>
        </w:rPr>
      </w:pPr>
      <w:r w:rsidRPr="001C2F46">
        <w:rPr>
          <w:rFonts w:eastAsia="Times New Roman" w:cstheme="minorHAnsi"/>
          <w:b/>
          <w:bCs/>
          <w:color w:val="404B56"/>
          <w:sz w:val="24"/>
          <w:szCs w:val="24"/>
          <w:lang w:eastAsia="fr-FR"/>
        </w:rPr>
        <w:t>11 Incoterms® 2020 : 2 groupes distincts</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b/>
          <w:bCs/>
          <w:color w:val="C70000"/>
          <w:sz w:val="24"/>
          <w:szCs w:val="24"/>
          <w:lang w:eastAsia="fr-FR"/>
        </w:rPr>
        <w:t>-  </w:t>
      </w:r>
      <w:r w:rsidRPr="001C2F46">
        <w:rPr>
          <w:rFonts w:eastAsia="Times New Roman" w:cstheme="minorHAnsi"/>
          <w:b/>
          <w:bCs/>
          <w:color w:val="737F85"/>
          <w:sz w:val="24"/>
          <w:szCs w:val="24"/>
          <w:lang w:eastAsia="fr-FR"/>
        </w:rPr>
        <w:t>7 </w:t>
      </w:r>
      <w:r w:rsidRPr="001C2F46">
        <w:rPr>
          <w:rFonts w:eastAsia="Times New Roman" w:cstheme="minorHAnsi"/>
          <w:color w:val="737F85"/>
          <w:sz w:val="24"/>
          <w:szCs w:val="24"/>
          <w:lang w:eastAsia="fr-FR"/>
        </w:rPr>
        <w:t>règles </w:t>
      </w:r>
      <w:r w:rsidRPr="001C2F46">
        <w:rPr>
          <w:rFonts w:eastAsia="Times New Roman" w:cstheme="minorHAnsi"/>
          <w:b/>
          <w:bCs/>
          <w:color w:val="737F85"/>
          <w:sz w:val="24"/>
          <w:szCs w:val="24"/>
          <w:lang w:eastAsia="fr-FR"/>
        </w:rPr>
        <w:t>Incoterms® applicables à tout</w:t>
      </w:r>
      <w:r w:rsidRPr="001C2F46">
        <w:rPr>
          <w:rFonts w:eastAsia="Times New Roman" w:cstheme="minorHAnsi"/>
          <w:color w:val="737F85"/>
          <w:sz w:val="24"/>
          <w:szCs w:val="24"/>
          <w:lang w:eastAsia="fr-FR"/>
        </w:rPr>
        <w:t> mode</w:t>
      </w:r>
      <w:r w:rsidRPr="001C2F46">
        <w:rPr>
          <w:rFonts w:eastAsia="Times New Roman" w:cstheme="minorHAnsi"/>
          <w:b/>
          <w:bCs/>
          <w:color w:val="737F85"/>
          <w:sz w:val="24"/>
          <w:szCs w:val="24"/>
          <w:lang w:eastAsia="fr-FR"/>
        </w:rPr>
        <w:t>s</w:t>
      </w:r>
      <w:r w:rsidRPr="001C2F46">
        <w:rPr>
          <w:rFonts w:eastAsia="Times New Roman" w:cstheme="minorHAnsi"/>
          <w:color w:val="737F85"/>
          <w:sz w:val="24"/>
          <w:szCs w:val="24"/>
          <w:lang w:eastAsia="fr-FR"/>
        </w:rPr>
        <w:t> de transport : </w:t>
      </w:r>
      <w:r w:rsidRPr="001C2F46">
        <w:rPr>
          <w:rFonts w:eastAsia="Times New Roman" w:cstheme="minorHAnsi"/>
          <w:b/>
          <w:bCs/>
          <w:color w:val="C70000"/>
          <w:sz w:val="24"/>
          <w:szCs w:val="24"/>
          <w:lang w:eastAsia="fr-FR"/>
        </w:rPr>
        <w:t>EXW</w:t>
      </w:r>
      <w:r w:rsidRPr="001C2F46">
        <w:rPr>
          <w:rFonts w:eastAsia="Times New Roman" w:cstheme="minorHAnsi"/>
          <w:b/>
          <w:bCs/>
          <w:color w:val="737F85"/>
          <w:sz w:val="24"/>
          <w:szCs w:val="24"/>
          <w:lang w:eastAsia="fr-FR"/>
        </w:rPr>
        <w:t> -</w:t>
      </w:r>
      <w:r w:rsidRPr="001C2F46">
        <w:rPr>
          <w:rFonts w:eastAsia="Times New Roman" w:cstheme="minorHAnsi"/>
          <w:b/>
          <w:bCs/>
          <w:color w:val="C70000"/>
          <w:sz w:val="24"/>
          <w:szCs w:val="24"/>
          <w:lang w:eastAsia="fr-FR"/>
        </w:rPr>
        <w:t> FCA</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CPT</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CIP</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DAP</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DPU</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DDP</w:t>
      </w:r>
    </w:p>
    <w:p w:rsidR="001C2F46" w:rsidRPr="001C2F46" w:rsidRDefault="001C2F46" w:rsidP="001C2F46">
      <w:pPr>
        <w:shd w:val="clear" w:color="auto" w:fill="FFFFFF"/>
        <w:spacing w:after="185" w:line="154" w:lineRule="atLeast"/>
        <w:rPr>
          <w:rFonts w:eastAsia="Times New Roman" w:cstheme="minorHAnsi"/>
          <w:color w:val="737F85"/>
          <w:sz w:val="24"/>
          <w:szCs w:val="24"/>
          <w:lang w:eastAsia="fr-FR"/>
        </w:rPr>
      </w:pPr>
      <w:r w:rsidRPr="001C2F46">
        <w:rPr>
          <w:rFonts w:eastAsia="Times New Roman" w:cstheme="minorHAnsi"/>
          <w:color w:val="C70000"/>
          <w:sz w:val="24"/>
          <w:szCs w:val="24"/>
          <w:lang w:eastAsia="fr-FR"/>
        </w:rPr>
        <w:t>-  </w:t>
      </w:r>
      <w:r w:rsidRPr="001C2F46">
        <w:rPr>
          <w:rFonts w:eastAsia="Times New Roman" w:cstheme="minorHAnsi"/>
          <w:b/>
          <w:bCs/>
          <w:color w:val="737F85"/>
          <w:sz w:val="24"/>
          <w:szCs w:val="24"/>
          <w:lang w:eastAsia="fr-FR"/>
        </w:rPr>
        <w:t>4 </w:t>
      </w:r>
      <w:r w:rsidRPr="001C2F46">
        <w:rPr>
          <w:rFonts w:eastAsia="Times New Roman" w:cstheme="minorHAnsi"/>
          <w:color w:val="737F85"/>
          <w:sz w:val="24"/>
          <w:szCs w:val="24"/>
          <w:lang w:eastAsia="fr-FR"/>
        </w:rPr>
        <w:t>règles </w:t>
      </w:r>
      <w:r w:rsidRPr="001C2F46">
        <w:rPr>
          <w:rFonts w:eastAsia="Times New Roman" w:cstheme="minorHAnsi"/>
          <w:b/>
          <w:bCs/>
          <w:color w:val="737F85"/>
          <w:sz w:val="24"/>
          <w:szCs w:val="24"/>
          <w:lang w:eastAsia="fr-FR"/>
        </w:rPr>
        <w:t>Incoterms® applicables</w:t>
      </w:r>
      <w:r w:rsidRPr="001C2F46">
        <w:rPr>
          <w:rFonts w:eastAsia="Times New Roman" w:cstheme="minorHAnsi"/>
          <w:color w:val="737F85"/>
          <w:sz w:val="24"/>
          <w:szCs w:val="24"/>
          <w:lang w:eastAsia="fr-FR"/>
        </w:rPr>
        <w:t> au transport maritime et fluvial : </w:t>
      </w:r>
      <w:r w:rsidRPr="001C2F46">
        <w:rPr>
          <w:rFonts w:eastAsia="Times New Roman" w:cstheme="minorHAnsi"/>
          <w:b/>
          <w:bCs/>
          <w:color w:val="C70000"/>
          <w:sz w:val="24"/>
          <w:szCs w:val="24"/>
          <w:lang w:eastAsia="fr-FR"/>
        </w:rPr>
        <w:t>FAS</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FOB</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CFR</w:t>
      </w:r>
      <w:r w:rsidRPr="001C2F46">
        <w:rPr>
          <w:rFonts w:eastAsia="Times New Roman" w:cstheme="minorHAnsi"/>
          <w:b/>
          <w:bCs/>
          <w:color w:val="737F85"/>
          <w:sz w:val="24"/>
          <w:szCs w:val="24"/>
          <w:lang w:eastAsia="fr-FR"/>
        </w:rPr>
        <w:t> - </w:t>
      </w:r>
      <w:r w:rsidRPr="001C2F46">
        <w:rPr>
          <w:rFonts w:eastAsia="Times New Roman" w:cstheme="minorHAnsi"/>
          <w:b/>
          <w:bCs/>
          <w:color w:val="C70000"/>
          <w:sz w:val="24"/>
          <w:szCs w:val="24"/>
          <w:lang w:eastAsia="fr-FR"/>
        </w:rPr>
        <w:t>CIF</w:t>
      </w:r>
    </w:p>
    <w:p w:rsidR="001C2F46" w:rsidRPr="001C2F46" w:rsidRDefault="001C2F46" w:rsidP="001C2F46">
      <w:pPr>
        <w:shd w:val="clear" w:color="auto" w:fill="FFFFFF"/>
        <w:spacing w:after="123" w:line="185" w:lineRule="atLeast"/>
        <w:outlineLvl w:val="2"/>
        <w:rPr>
          <w:rFonts w:eastAsia="Times New Roman" w:cstheme="minorHAnsi"/>
          <w:color w:val="404B56"/>
          <w:sz w:val="24"/>
          <w:szCs w:val="24"/>
          <w:lang w:eastAsia="fr-FR"/>
        </w:rPr>
      </w:pPr>
      <w:r w:rsidRPr="001C2F46">
        <w:rPr>
          <w:rFonts w:eastAsia="Times New Roman" w:cstheme="minorHAnsi"/>
          <w:b/>
          <w:bCs/>
          <w:color w:val="404B56"/>
          <w:sz w:val="24"/>
          <w:szCs w:val="24"/>
          <w:lang w:eastAsia="fr-FR"/>
        </w:rPr>
        <w:t>Règles applicables à tout mode de transport :</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b/>
          <w:bCs/>
          <w:color w:val="737F85"/>
          <w:sz w:val="24"/>
          <w:szCs w:val="24"/>
          <w:lang w:eastAsia="fr-FR"/>
        </w:rPr>
        <w:t> </w:t>
      </w:r>
    </w:p>
    <w:p w:rsidR="001C2F46" w:rsidRPr="001C2F46" w:rsidRDefault="001C2F46" w:rsidP="001C2F46">
      <w:pPr>
        <w:numPr>
          <w:ilvl w:val="0"/>
          <w:numId w:val="1"/>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EXW</w:t>
      </w:r>
      <w:r w:rsidRPr="001C2F46">
        <w:rPr>
          <w:rFonts w:eastAsia="Times New Roman" w:cstheme="minorHAnsi"/>
          <w:color w:val="B30000"/>
          <w:sz w:val="24"/>
          <w:szCs w:val="24"/>
          <w:lang w:eastAsia="fr-FR"/>
        </w:rPr>
        <w:t> </w:t>
      </w:r>
      <w:r w:rsidRPr="001C2F46">
        <w:rPr>
          <w:rFonts w:eastAsia="Times New Roman" w:cstheme="minorHAnsi"/>
          <w:color w:val="737F85"/>
          <w:sz w:val="24"/>
          <w:szCs w:val="24"/>
          <w:lang w:eastAsia="fr-FR"/>
        </w:rPr>
        <w:t>: Le vendeur a rempli son obligation de livraison quand la marchandise est mise à disposition dans son établissement (atelier, usine, entrepôt, etc.). L'acheteur supporte tous les frais et risques inhérents à l'acheminement des marchandises de l'établissement du vendeur à la destination souhaitée. Le vendeur n'a pas à charger la marchandise sur un quelconque véhicule d'enlèvement. Ce terme représente l'obligation minimale du vendeur. A utiliser essentiellement dans les échanges nationaux.</w:t>
      </w:r>
    </w:p>
    <w:p w:rsidR="001C2F46" w:rsidRPr="001C2F46" w:rsidRDefault="001C2F46" w:rsidP="001C2F46">
      <w:pPr>
        <w:numPr>
          <w:ilvl w:val="0"/>
          <w:numId w:val="2"/>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FCA</w:t>
      </w:r>
      <w:r w:rsidRPr="001C2F46">
        <w:rPr>
          <w:rFonts w:eastAsia="Times New Roman" w:cstheme="minorHAnsi"/>
          <w:color w:val="B30000"/>
          <w:sz w:val="24"/>
          <w:szCs w:val="24"/>
          <w:lang w:eastAsia="fr-FR"/>
        </w:rPr>
        <w:t> </w:t>
      </w:r>
      <w:r w:rsidRPr="001C2F46">
        <w:rPr>
          <w:rFonts w:eastAsia="Times New Roman" w:cstheme="minorHAnsi"/>
          <w:color w:val="737F85"/>
          <w:sz w:val="24"/>
          <w:szCs w:val="24"/>
          <w:lang w:eastAsia="fr-FR"/>
        </w:rPr>
        <w:t>: Le vendeur a rempli son obligation de livraison quand il a remis la marchandise, dédouanée à l'exportation, au transporteur désigné par l'acheteur au point convenu. L'acheteur choisit le mode de transport et le transporteur. L'acheteur paye le transport principal. Le transfert des frais et risques intervient au moment où le transporteur prend en charge la marchandise. L’option "Connaissement à bord"  permet à l'acheteur et au vendeur de se mettre d'accord pour que le vendeur puisse obtenir le connaissement..</w:t>
      </w:r>
    </w:p>
    <w:p w:rsidR="001C2F46" w:rsidRPr="001C2F46" w:rsidRDefault="001C2F46" w:rsidP="001C2F46">
      <w:pPr>
        <w:numPr>
          <w:ilvl w:val="0"/>
          <w:numId w:val="3"/>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CPT</w:t>
      </w:r>
      <w:r w:rsidRPr="001C2F46">
        <w:rPr>
          <w:rFonts w:eastAsia="Times New Roman" w:cstheme="minorHAnsi"/>
          <w:color w:val="737F85"/>
          <w:sz w:val="24"/>
          <w:szCs w:val="24"/>
          <w:lang w:eastAsia="fr-FR"/>
        </w:rPr>
        <w:t> : Le vendeur choisit le mode de transport et paye le fret pour le transport de la marchandise jusqu'à la destination convenue. Il dédouane la marchandise à l'exportation. Quand la marchandise est remise au transporteur principal, les risques sont transférés du vendeur à l'acheteur.</w:t>
      </w:r>
    </w:p>
    <w:p w:rsidR="001C2F46" w:rsidRPr="001C2F46" w:rsidRDefault="001C2F46" w:rsidP="001C2F46">
      <w:pPr>
        <w:numPr>
          <w:ilvl w:val="0"/>
          <w:numId w:val="4"/>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CIP</w:t>
      </w:r>
      <w:r w:rsidRPr="001C2F46">
        <w:rPr>
          <w:rFonts w:eastAsia="Times New Roman" w:cstheme="minorHAnsi"/>
          <w:color w:val="737F85"/>
          <w:sz w:val="24"/>
          <w:szCs w:val="24"/>
          <w:lang w:eastAsia="fr-FR"/>
        </w:rPr>
        <w:t> : Le vendeur a les mêmes obligations qu'en CPT, mais il doit en plus fournir une assurance tous risques. Le vendeur dédouane la marchandise à l'exportation.</w:t>
      </w:r>
    </w:p>
    <w:p w:rsidR="001C2F46" w:rsidRPr="001C2F46" w:rsidRDefault="001C2F46" w:rsidP="001C2F46">
      <w:pPr>
        <w:numPr>
          <w:ilvl w:val="0"/>
          <w:numId w:val="5"/>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DAP</w:t>
      </w:r>
      <w:r w:rsidRPr="001C2F46">
        <w:rPr>
          <w:rFonts w:eastAsia="Times New Roman" w:cstheme="minorHAnsi"/>
          <w:color w:val="B30000"/>
          <w:sz w:val="24"/>
          <w:szCs w:val="24"/>
          <w:lang w:eastAsia="fr-FR"/>
        </w:rPr>
        <w:t> </w:t>
      </w:r>
      <w:r w:rsidRPr="001C2F46">
        <w:rPr>
          <w:rFonts w:eastAsia="Times New Roman" w:cstheme="minorHAnsi"/>
          <w:color w:val="737F85"/>
          <w:sz w:val="24"/>
          <w:szCs w:val="24"/>
          <w:lang w:eastAsia="fr-FR"/>
        </w:rPr>
        <w:t>: Le vendeur doit livrer les marchandises en les mettant à la disposition de l'acheteur sur le moyen de transport arrivant prêtes pour être déchargées à l'endroit convenu, si spécifié, au lieu de destination convenu à la date ou dans les délais convenus. Le vendeur assume les risques liés à l'acheminement des marchandises jusqu'au lieu de destination.</w:t>
      </w:r>
    </w:p>
    <w:p w:rsidR="001C2F46" w:rsidRPr="001C2F46" w:rsidRDefault="001C2F46" w:rsidP="001C2F46">
      <w:pPr>
        <w:numPr>
          <w:ilvl w:val="0"/>
          <w:numId w:val="5"/>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DPU</w:t>
      </w:r>
      <w:r w:rsidRPr="001C2F46">
        <w:rPr>
          <w:rFonts w:eastAsia="Times New Roman" w:cstheme="minorHAnsi"/>
          <w:color w:val="B30000"/>
          <w:sz w:val="24"/>
          <w:szCs w:val="24"/>
          <w:lang w:eastAsia="fr-FR"/>
        </w:rPr>
        <w:t> </w:t>
      </w:r>
      <w:r w:rsidRPr="001C2F46">
        <w:rPr>
          <w:rFonts w:eastAsia="Times New Roman" w:cstheme="minorHAnsi"/>
          <w:color w:val="737F85"/>
          <w:sz w:val="24"/>
          <w:szCs w:val="24"/>
          <w:lang w:eastAsia="fr-FR"/>
        </w:rPr>
        <w:t>: Le vendeur a rempli ses obligations lorsque la marchandise est placée à la disposition de l’acheteur, déchargée du moyen de transport au lieu de destination convenu (ce lieu peut être un terminal, un entrepôt ou les locaux de l’acheteur).</w:t>
      </w:r>
    </w:p>
    <w:p w:rsidR="001C2F46" w:rsidRPr="001C2F46" w:rsidRDefault="001C2F46" w:rsidP="001C2F46">
      <w:pPr>
        <w:numPr>
          <w:ilvl w:val="0"/>
          <w:numId w:val="6"/>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DDP </w:t>
      </w:r>
      <w:r w:rsidRPr="001C2F46">
        <w:rPr>
          <w:rFonts w:eastAsia="Times New Roman" w:cstheme="minorHAnsi"/>
          <w:color w:val="737F85"/>
          <w:sz w:val="24"/>
          <w:szCs w:val="24"/>
          <w:lang w:eastAsia="fr-FR"/>
        </w:rPr>
        <w:t>: A l'inverse du terme EXW à l'usine, ce terme désigne l'obligation maximum du vendeur. Le vendeur fait tout, y compris le dédouanement à l'import et le paiement des droits et taxes exigibles. Le transfert des frais et risques se fait à la livraison chez l'acheteur. Le déchargement incombe en frais et risques à l'acheteur.</w:t>
      </w:r>
    </w:p>
    <w:p w:rsidR="001C2F46" w:rsidRPr="001C2F46" w:rsidRDefault="001C2F46" w:rsidP="001C2F46">
      <w:pPr>
        <w:shd w:val="clear" w:color="auto" w:fill="FFFFFF"/>
        <w:spacing w:after="123" w:line="185" w:lineRule="atLeast"/>
        <w:outlineLvl w:val="2"/>
        <w:rPr>
          <w:rFonts w:eastAsia="Times New Roman" w:cstheme="minorHAnsi"/>
          <w:color w:val="404B56"/>
          <w:sz w:val="24"/>
          <w:szCs w:val="24"/>
          <w:lang w:eastAsia="fr-FR"/>
        </w:rPr>
      </w:pPr>
      <w:r w:rsidRPr="001C2F46">
        <w:rPr>
          <w:rFonts w:eastAsia="Times New Roman" w:cstheme="minorHAnsi"/>
          <w:b/>
          <w:bCs/>
          <w:color w:val="404B56"/>
          <w:sz w:val="24"/>
          <w:szCs w:val="24"/>
          <w:lang w:eastAsia="fr-FR"/>
        </w:rPr>
        <w:t>Règles Incoterms® applicables au transport maritime et fluvial :</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b/>
          <w:bCs/>
          <w:color w:val="737F85"/>
          <w:sz w:val="24"/>
          <w:szCs w:val="24"/>
          <w:lang w:eastAsia="fr-FR"/>
        </w:rPr>
        <w:t> </w:t>
      </w:r>
    </w:p>
    <w:p w:rsidR="001C2F46" w:rsidRPr="001C2F46" w:rsidRDefault="001C2F46" w:rsidP="001C2F46">
      <w:pPr>
        <w:numPr>
          <w:ilvl w:val="0"/>
          <w:numId w:val="7"/>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FAS</w:t>
      </w:r>
      <w:r w:rsidRPr="001C2F46">
        <w:rPr>
          <w:rFonts w:eastAsia="Times New Roman" w:cstheme="minorHAnsi"/>
          <w:color w:val="737F85"/>
          <w:sz w:val="24"/>
          <w:szCs w:val="24"/>
          <w:lang w:eastAsia="fr-FR"/>
        </w:rPr>
        <w:t> :  Le vendeur a rempli son obligation de livraison quand la marchandise a été placée le long du navire, sur le quai au port d'embarquement convenu. L'acheteur doit supporter tous les frais et risques de perte, de dommage que peut courir la marchandise. Le terme FAS impose au vendeur l'obligation de dédouaner la marchandise à l'exportation.</w:t>
      </w:r>
    </w:p>
    <w:p w:rsidR="001C2F46" w:rsidRPr="001C2F46" w:rsidRDefault="001C2F46" w:rsidP="001C2F46">
      <w:pPr>
        <w:numPr>
          <w:ilvl w:val="0"/>
          <w:numId w:val="8"/>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FOB</w:t>
      </w:r>
      <w:r w:rsidRPr="001C2F46">
        <w:rPr>
          <w:rFonts w:eastAsia="Times New Roman" w:cstheme="minorHAnsi"/>
          <w:b/>
          <w:bCs/>
          <w:color w:val="737F85"/>
          <w:sz w:val="24"/>
          <w:szCs w:val="24"/>
          <w:lang w:eastAsia="fr-FR"/>
        </w:rPr>
        <w:t> </w:t>
      </w:r>
      <w:r w:rsidRPr="001C2F46">
        <w:rPr>
          <w:rFonts w:eastAsia="Times New Roman" w:cstheme="minorHAnsi"/>
          <w:color w:val="737F85"/>
          <w:sz w:val="24"/>
          <w:szCs w:val="24"/>
          <w:lang w:eastAsia="fr-FR"/>
        </w:rPr>
        <w:t xml:space="preserve">: Le vendeur a rempli son obligation de livraison quand la marchandise est placée à bord du navire au port d'embarquement désigné. Le vendeur dédouane la marchandise à l'exportation. L'acheteur choisit le navire et paye le fret maritime. Le transfert des risques </w:t>
      </w:r>
      <w:r w:rsidRPr="001C2F46">
        <w:rPr>
          <w:rFonts w:eastAsia="Times New Roman" w:cstheme="minorHAnsi"/>
          <w:color w:val="737F85"/>
          <w:sz w:val="24"/>
          <w:szCs w:val="24"/>
          <w:lang w:eastAsia="fr-FR"/>
        </w:rPr>
        <w:lastRenderedPageBreak/>
        <w:t>s'effectue lorsque les marchandises sont à bord du navire. A partir de ce moment, l'acheteur doit supporter tous les frais.</w:t>
      </w:r>
    </w:p>
    <w:p w:rsidR="001C2F46" w:rsidRPr="001C2F46" w:rsidRDefault="001C2F46" w:rsidP="001C2F46">
      <w:pPr>
        <w:numPr>
          <w:ilvl w:val="0"/>
          <w:numId w:val="9"/>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CFR</w:t>
      </w:r>
      <w:r w:rsidRPr="001C2F46">
        <w:rPr>
          <w:rFonts w:eastAsia="Times New Roman" w:cstheme="minorHAnsi"/>
          <w:b/>
          <w:bCs/>
          <w:color w:val="737F85"/>
          <w:sz w:val="24"/>
          <w:szCs w:val="24"/>
          <w:lang w:eastAsia="fr-FR"/>
        </w:rPr>
        <w:t> </w:t>
      </w:r>
      <w:r w:rsidRPr="001C2F46">
        <w:rPr>
          <w:rFonts w:eastAsia="Times New Roman" w:cstheme="minorHAnsi"/>
          <w:color w:val="737F85"/>
          <w:sz w:val="24"/>
          <w:szCs w:val="24"/>
          <w:lang w:eastAsia="fr-FR"/>
        </w:rPr>
        <w:t>: Le vendeur doit choisir le navire et payer les frais et le fret nécessaires pour acheminer la marchandise au port de destination désigné. Les formalités d'exportation incombent au vendeur. Le transfert des risques s'effectue au moment où les marchandises sont mises à bord du navire.</w:t>
      </w:r>
    </w:p>
    <w:p w:rsidR="001C2F46" w:rsidRPr="001C2F46" w:rsidRDefault="001C2F46" w:rsidP="001C2F46">
      <w:pPr>
        <w:numPr>
          <w:ilvl w:val="0"/>
          <w:numId w:val="10"/>
        </w:numPr>
        <w:pBdr>
          <w:bottom w:val="dotted" w:sz="2" w:space="3" w:color="B4BFC5"/>
        </w:pBdr>
        <w:shd w:val="clear" w:color="auto" w:fill="FFFFFF"/>
        <w:spacing w:after="0" w:line="148" w:lineRule="atLeast"/>
        <w:ind w:left="0"/>
        <w:jc w:val="both"/>
        <w:textAlignment w:val="top"/>
        <w:rPr>
          <w:rFonts w:eastAsia="Times New Roman" w:cstheme="minorHAnsi"/>
          <w:color w:val="737F85"/>
          <w:sz w:val="24"/>
          <w:szCs w:val="24"/>
          <w:lang w:eastAsia="fr-FR"/>
        </w:rPr>
      </w:pPr>
      <w:r w:rsidRPr="001C2F46">
        <w:rPr>
          <w:rFonts w:eastAsia="Times New Roman" w:cstheme="minorHAnsi"/>
          <w:b/>
          <w:bCs/>
          <w:color w:val="B30000"/>
          <w:sz w:val="24"/>
          <w:szCs w:val="24"/>
          <w:lang w:eastAsia="fr-FR"/>
        </w:rPr>
        <w:t>CIF</w:t>
      </w:r>
      <w:r w:rsidRPr="001C2F46">
        <w:rPr>
          <w:rFonts w:eastAsia="Times New Roman" w:cstheme="minorHAnsi"/>
          <w:color w:val="B30000"/>
          <w:sz w:val="24"/>
          <w:szCs w:val="24"/>
          <w:lang w:eastAsia="fr-FR"/>
        </w:rPr>
        <w:t> </w:t>
      </w:r>
      <w:r w:rsidRPr="001C2F46">
        <w:rPr>
          <w:rFonts w:eastAsia="Times New Roman" w:cstheme="minorHAnsi"/>
          <w:color w:val="737F85"/>
          <w:sz w:val="24"/>
          <w:szCs w:val="24"/>
          <w:lang w:eastAsia="fr-FR"/>
        </w:rPr>
        <w:t>: Le vendeur a les mêmes obligations qu'en CFR mais il doit en plus fournir une assurance maritime minimale. Les formalités d'exportation incombent au vendeur. La marchandise voyage, sur le transport maritime ou fluvial, aux risques et périls de l'acheteur. Le transfert des risques s'effectue au moment où les marchandises sont mises à bord du navire.</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color w:val="737F85"/>
          <w:sz w:val="24"/>
          <w:szCs w:val="24"/>
          <w:lang w:eastAsia="fr-FR"/>
        </w:rPr>
        <w:t> </w:t>
      </w:r>
    </w:p>
    <w:p w:rsidR="001C2F46" w:rsidRPr="001C2F46" w:rsidRDefault="001C2F46" w:rsidP="001C2F46">
      <w:pPr>
        <w:shd w:val="clear" w:color="auto" w:fill="FFFFFF"/>
        <w:spacing w:after="123" w:line="185" w:lineRule="atLeast"/>
        <w:outlineLvl w:val="2"/>
        <w:rPr>
          <w:rFonts w:eastAsia="Times New Roman" w:cstheme="minorHAnsi"/>
          <w:color w:val="404B56"/>
          <w:sz w:val="24"/>
          <w:szCs w:val="24"/>
          <w:lang w:eastAsia="fr-FR"/>
        </w:rPr>
      </w:pPr>
      <w:r w:rsidRPr="001C2F46">
        <w:rPr>
          <w:rFonts w:eastAsia="Times New Roman" w:cstheme="minorHAnsi"/>
          <w:b/>
          <w:bCs/>
          <w:color w:val="404B56"/>
          <w:sz w:val="24"/>
          <w:szCs w:val="24"/>
          <w:lang w:eastAsia="fr-FR"/>
        </w:rPr>
        <w:t>Départ/arrivée : Une distinction essentielle</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b/>
          <w:bCs/>
          <w:color w:val="737F85"/>
          <w:sz w:val="24"/>
          <w:szCs w:val="24"/>
          <w:lang w:eastAsia="fr-FR"/>
        </w:rPr>
        <w:t>V</w:t>
      </w:r>
      <w:r w:rsidRPr="001C2F46">
        <w:rPr>
          <w:rFonts w:eastAsia="Times New Roman" w:cstheme="minorHAnsi"/>
          <w:color w:val="737F85"/>
          <w:sz w:val="24"/>
          <w:szCs w:val="24"/>
          <w:lang w:eastAsia="fr-FR"/>
        </w:rPr>
        <w:t>entes </w:t>
      </w:r>
      <w:r w:rsidRPr="001C2F46">
        <w:rPr>
          <w:rFonts w:eastAsia="Times New Roman" w:cstheme="minorHAnsi"/>
          <w:b/>
          <w:bCs/>
          <w:color w:val="737F85"/>
          <w:sz w:val="24"/>
          <w:szCs w:val="24"/>
          <w:lang w:eastAsia="fr-FR"/>
        </w:rPr>
        <w:t>au départ</w:t>
      </w:r>
      <w:r w:rsidRPr="001C2F46">
        <w:rPr>
          <w:rFonts w:eastAsia="Times New Roman" w:cstheme="minorHAnsi"/>
          <w:color w:val="737F85"/>
          <w:sz w:val="24"/>
          <w:szCs w:val="24"/>
          <w:lang w:eastAsia="fr-FR"/>
        </w:rPr>
        <w:t> (VD) </w:t>
      </w:r>
      <w:r w:rsidRPr="001C2F46">
        <w:rPr>
          <w:rFonts w:eastAsia="Times New Roman" w:cstheme="minorHAnsi"/>
          <w:b/>
          <w:bCs/>
          <w:color w:val="737F85"/>
          <w:sz w:val="24"/>
          <w:szCs w:val="24"/>
          <w:lang w:eastAsia="fr-FR"/>
        </w:rPr>
        <w:t>=</w:t>
      </w:r>
      <w:r w:rsidRPr="001C2F46">
        <w:rPr>
          <w:rFonts w:eastAsia="Times New Roman" w:cstheme="minorHAnsi"/>
          <w:color w:val="737F85"/>
          <w:sz w:val="24"/>
          <w:szCs w:val="24"/>
          <w:lang w:eastAsia="fr-FR"/>
        </w:rPr>
        <w:t> 8 Incoterms</w:t>
      </w:r>
      <w:r w:rsidRPr="001C2F46">
        <w:rPr>
          <w:rFonts w:eastAsia="Times New Roman" w:cstheme="minorHAnsi"/>
          <w:b/>
          <w:bCs/>
          <w:color w:val="737F85"/>
          <w:sz w:val="24"/>
          <w:szCs w:val="24"/>
          <w:lang w:eastAsia="fr-FR"/>
        </w:rPr>
        <w:t>®</w:t>
      </w:r>
      <w:r w:rsidRPr="001C2F46">
        <w:rPr>
          <w:rFonts w:eastAsia="Times New Roman" w:cstheme="minorHAnsi"/>
          <w:color w:val="737F85"/>
          <w:sz w:val="24"/>
          <w:szCs w:val="24"/>
          <w:lang w:eastAsia="fr-FR"/>
        </w:rPr>
        <w:t> : </w:t>
      </w:r>
      <w:r w:rsidRPr="001C2F46">
        <w:rPr>
          <w:rFonts w:eastAsia="Times New Roman" w:cstheme="minorHAnsi"/>
          <w:b/>
          <w:bCs/>
          <w:color w:val="737F85"/>
          <w:sz w:val="24"/>
          <w:szCs w:val="24"/>
          <w:lang w:eastAsia="fr-FR"/>
        </w:rPr>
        <w:t>s</w:t>
      </w:r>
      <w:r w:rsidRPr="001C2F46">
        <w:rPr>
          <w:rFonts w:eastAsia="Times New Roman" w:cstheme="minorHAnsi"/>
          <w:color w:val="737F85"/>
          <w:sz w:val="24"/>
          <w:szCs w:val="24"/>
          <w:lang w:eastAsia="fr-FR"/>
        </w:rPr>
        <w:t>ur le transport principal, la marchandise voyage aux risques et périls de l’acheteur.</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color w:val="737F85"/>
          <w:sz w:val="24"/>
          <w:szCs w:val="24"/>
          <w:lang w:eastAsia="fr-FR"/>
        </w:rPr>
        <w:t> </w:t>
      </w:r>
    </w:p>
    <w:p w:rsidR="001C2F46" w:rsidRPr="001C2F46" w:rsidRDefault="001C2F46" w:rsidP="001C2F46">
      <w:pPr>
        <w:numPr>
          <w:ilvl w:val="0"/>
          <w:numId w:val="11"/>
        </w:numPr>
        <w:pBdr>
          <w:bottom w:val="dotted" w:sz="2" w:space="3" w:color="B4BFC5"/>
        </w:pBdr>
        <w:shd w:val="clear" w:color="auto" w:fill="FFFFFF"/>
        <w:spacing w:after="0" w:line="148" w:lineRule="atLeast"/>
        <w:ind w:left="0"/>
        <w:textAlignment w:val="top"/>
        <w:rPr>
          <w:rFonts w:eastAsia="Times New Roman" w:cstheme="minorHAnsi"/>
          <w:b/>
          <w:bCs/>
          <w:color w:val="737F85"/>
          <w:sz w:val="24"/>
          <w:szCs w:val="24"/>
          <w:lang w:eastAsia="fr-FR"/>
        </w:rPr>
      </w:pPr>
      <w:r w:rsidRPr="001C2F46">
        <w:rPr>
          <w:rFonts w:eastAsia="Times New Roman" w:cstheme="minorHAnsi"/>
          <w:color w:val="737F85"/>
          <w:sz w:val="24"/>
          <w:szCs w:val="24"/>
          <w:lang w:eastAsia="fr-FR"/>
        </w:rPr>
        <w:t>Incoterms</w:t>
      </w:r>
      <w:r w:rsidRPr="001C2F46">
        <w:rPr>
          <w:rFonts w:eastAsia="Times New Roman" w:cstheme="minorHAnsi"/>
          <w:b/>
          <w:bCs/>
          <w:color w:val="737F85"/>
          <w:sz w:val="24"/>
          <w:szCs w:val="24"/>
          <w:lang w:eastAsia="fr-FR"/>
        </w:rPr>
        <w:t>®</w:t>
      </w:r>
      <w:r w:rsidRPr="001C2F46">
        <w:rPr>
          <w:rFonts w:eastAsia="Times New Roman" w:cstheme="minorHAnsi"/>
          <w:color w:val="737F85"/>
          <w:sz w:val="24"/>
          <w:szCs w:val="24"/>
          <w:lang w:eastAsia="fr-FR"/>
        </w:rPr>
        <w:t> multimodaux – vente au départ : </w:t>
      </w:r>
      <w:r w:rsidRPr="001C2F46">
        <w:rPr>
          <w:rFonts w:eastAsia="Times New Roman" w:cstheme="minorHAnsi"/>
          <w:b/>
          <w:bCs/>
          <w:color w:val="737F85"/>
          <w:sz w:val="24"/>
          <w:szCs w:val="24"/>
          <w:lang w:eastAsia="fr-FR"/>
        </w:rPr>
        <w:t>EXW / FCA / CPT / CIP</w:t>
      </w:r>
    </w:p>
    <w:p w:rsidR="001C2F46" w:rsidRPr="001C2F46" w:rsidRDefault="001C2F46" w:rsidP="001C2F46">
      <w:pPr>
        <w:numPr>
          <w:ilvl w:val="0"/>
          <w:numId w:val="11"/>
        </w:numPr>
        <w:pBdr>
          <w:bottom w:val="dotted" w:sz="2" w:space="3" w:color="B4BFC5"/>
        </w:pBdr>
        <w:shd w:val="clear" w:color="auto" w:fill="FFFFFF"/>
        <w:spacing w:after="0" w:line="148" w:lineRule="atLeast"/>
        <w:ind w:left="0"/>
        <w:textAlignment w:val="top"/>
        <w:rPr>
          <w:rFonts w:eastAsia="Times New Roman" w:cstheme="minorHAnsi"/>
          <w:color w:val="737F85"/>
          <w:sz w:val="24"/>
          <w:szCs w:val="24"/>
          <w:lang w:eastAsia="fr-FR"/>
        </w:rPr>
      </w:pPr>
      <w:r w:rsidRPr="001C2F46">
        <w:rPr>
          <w:rFonts w:eastAsia="Times New Roman" w:cstheme="minorHAnsi"/>
          <w:color w:val="737F85"/>
          <w:sz w:val="24"/>
          <w:szCs w:val="24"/>
          <w:lang w:eastAsia="fr-FR"/>
        </w:rPr>
        <w:t>Incoterms</w:t>
      </w:r>
      <w:r w:rsidRPr="001C2F46">
        <w:rPr>
          <w:rFonts w:eastAsia="Times New Roman" w:cstheme="minorHAnsi"/>
          <w:b/>
          <w:bCs/>
          <w:color w:val="737F85"/>
          <w:sz w:val="24"/>
          <w:szCs w:val="24"/>
          <w:lang w:eastAsia="fr-FR"/>
        </w:rPr>
        <w:t>®</w:t>
      </w:r>
      <w:r w:rsidRPr="001C2F46">
        <w:rPr>
          <w:rFonts w:eastAsia="Times New Roman" w:cstheme="minorHAnsi"/>
          <w:color w:val="737F85"/>
          <w:sz w:val="24"/>
          <w:szCs w:val="24"/>
          <w:lang w:eastAsia="fr-FR"/>
        </w:rPr>
        <w:t> maritimes – vente au départ : </w:t>
      </w:r>
      <w:r w:rsidRPr="001C2F46">
        <w:rPr>
          <w:rFonts w:eastAsia="Times New Roman" w:cstheme="minorHAnsi"/>
          <w:b/>
          <w:bCs/>
          <w:color w:val="737F85"/>
          <w:sz w:val="24"/>
          <w:szCs w:val="24"/>
          <w:lang w:eastAsia="fr-FR"/>
        </w:rPr>
        <w:t>FAS / FOB / CFR / CI</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color w:val="737F85"/>
          <w:sz w:val="24"/>
          <w:szCs w:val="24"/>
          <w:lang w:eastAsia="fr-FR"/>
        </w:rPr>
        <w:t> </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b/>
          <w:bCs/>
          <w:color w:val="737F85"/>
          <w:sz w:val="24"/>
          <w:szCs w:val="24"/>
          <w:lang w:eastAsia="fr-FR"/>
        </w:rPr>
        <w:t>V</w:t>
      </w:r>
      <w:r w:rsidRPr="001C2F46">
        <w:rPr>
          <w:rFonts w:eastAsia="Times New Roman" w:cstheme="minorHAnsi"/>
          <w:color w:val="737F85"/>
          <w:sz w:val="24"/>
          <w:szCs w:val="24"/>
          <w:lang w:eastAsia="fr-FR"/>
        </w:rPr>
        <w:t>entes </w:t>
      </w:r>
      <w:r w:rsidRPr="001C2F46">
        <w:rPr>
          <w:rFonts w:eastAsia="Times New Roman" w:cstheme="minorHAnsi"/>
          <w:b/>
          <w:bCs/>
          <w:color w:val="737F85"/>
          <w:sz w:val="24"/>
          <w:szCs w:val="24"/>
          <w:lang w:eastAsia="fr-FR"/>
        </w:rPr>
        <w:t>à l'arrivée</w:t>
      </w:r>
      <w:r w:rsidRPr="001C2F46">
        <w:rPr>
          <w:rFonts w:eastAsia="Times New Roman" w:cstheme="minorHAnsi"/>
          <w:color w:val="737F85"/>
          <w:sz w:val="24"/>
          <w:szCs w:val="24"/>
          <w:lang w:eastAsia="fr-FR"/>
        </w:rPr>
        <w:t> (VA) </w:t>
      </w:r>
      <w:r w:rsidRPr="001C2F46">
        <w:rPr>
          <w:rFonts w:eastAsia="Times New Roman" w:cstheme="minorHAnsi"/>
          <w:b/>
          <w:bCs/>
          <w:color w:val="737F85"/>
          <w:sz w:val="24"/>
          <w:szCs w:val="24"/>
          <w:lang w:eastAsia="fr-FR"/>
        </w:rPr>
        <w:t>=</w:t>
      </w:r>
      <w:r w:rsidRPr="001C2F46">
        <w:rPr>
          <w:rFonts w:eastAsia="Times New Roman" w:cstheme="minorHAnsi"/>
          <w:color w:val="737F85"/>
          <w:sz w:val="24"/>
          <w:szCs w:val="24"/>
          <w:lang w:eastAsia="fr-FR"/>
        </w:rPr>
        <w:t> 3 Incoterms</w:t>
      </w:r>
      <w:r w:rsidRPr="001C2F46">
        <w:rPr>
          <w:rFonts w:eastAsia="Times New Roman" w:cstheme="minorHAnsi"/>
          <w:b/>
          <w:bCs/>
          <w:color w:val="737F85"/>
          <w:sz w:val="24"/>
          <w:szCs w:val="24"/>
          <w:lang w:eastAsia="fr-FR"/>
        </w:rPr>
        <w:t>®</w:t>
      </w:r>
      <w:r w:rsidRPr="001C2F46">
        <w:rPr>
          <w:rFonts w:eastAsia="Times New Roman" w:cstheme="minorHAnsi"/>
          <w:color w:val="737F85"/>
          <w:sz w:val="24"/>
          <w:szCs w:val="24"/>
          <w:lang w:eastAsia="fr-FR"/>
        </w:rPr>
        <w:t> : </w:t>
      </w:r>
      <w:r w:rsidRPr="001C2F46">
        <w:rPr>
          <w:rFonts w:eastAsia="Times New Roman" w:cstheme="minorHAnsi"/>
          <w:b/>
          <w:bCs/>
          <w:color w:val="737F85"/>
          <w:sz w:val="24"/>
          <w:szCs w:val="24"/>
          <w:lang w:eastAsia="fr-FR"/>
        </w:rPr>
        <w:t>s</w:t>
      </w:r>
      <w:r w:rsidRPr="001C2F46">
        <w:rPr>
          <w:rFonts w:eastAsia="Times New Roman" w:cstheme="minorHAnsi"/>
          <w:color w:val="737F85"/>
          <w:sz w:val="24"/>
          <w:szCs w:val="24"/>
          <w:lang w:eastAsia="fr-FR"/>
        </w:rPr>
        <w:t>ur le transport principal, la marchandise voyage aux risques et périls du vendeur.</w:t>
      </w:r>
    </w:p>
    <w:p w:rsidR="001C2F46" w:rsidRPr="001C2F46" w:rsidRDefault="001C2F46" w:rsidP="001C2F46">
      <w:pPr>
        <w:shd w:val="clear" w:color="auto" w:fill="FFFFFF"/>
        <w:spacing w:after="0" w:line="154" w:lineRule="atLeast"/>
        <w:rPr>
          <w:rFonts w:eastAsia="Times New Roman" w:cstheme="minorHAnsi"/>
          <w:color w:val="737F85"/>
          <w:sz w:val="24"/>
          <w:szCs w:val="24"/>
          <w:lang w:eastAsia="fr-FR"/>
        </w:rPr>
      </w:pPr>
      <w:r w:rsidRPr="001C2F46">
        <w:rPr>
          <w:rFonts w:eastAsia="Times New Roman" w:cstheme="minorHAnsi"/>
          <w:color w:val="737F85"/>
          <w:sz w:val="24"/>
          <w:szCs w:val="24"/>
          <w:lang w:eastAsia="fr-FR"/>
        </w:rPr>
        <w:t>Incoterms</w:t>
      </w:r>
      <w:r w:rsidRPr="001C2F46">
        <w:rPr>
          <w:rFonts w:eastAsia="Times New Roman" w:cstheme="minorHAnsi"/>
          <w:b/>
          <w:bCs/>
          <w:color w:val="737F85"/>
          <w:sz w:val="24"/>
          <w:szCs w:val="24"/>
          <w:lang w:eastAsia="fr-FR"/>
        </w:rPr>
        <w:t>®</w:t>
      </w:r>
      <w:r w:rsidRPr="001C2F46">
        <w:rPr>
          <w:rFonts w:eastAsia="Times New Roman" w:cstheme="minorHAnsi"/>
          <w:color w:val="737F85"/>
          <w:sz w:val="24"/>
          <w:szCs w:val="24"/>
          <w:lang w:eastAsia="fr-FR"/>
        </w:rPr>
        <w:t> multimodaux – vente à l’arrivée : </w:t>
      </w:r>
      <w:r w:rsidRPr="001C2F46">
        <w:rPr>
          <w:rFonts w:eastAsia="Times New Roman" w:cstheme="minorHAnsi"/>
          <w:b/>
          <w:bCs/>
          <w:color w:val="737F85"/>
          <w:sz w:val="24"/>
          <w:szCs w:val="24"/>
          <w:lang w:eastAsia="fr-FR"/>
        </w:rPr>
        <w:t>DAP / DPU / DDP</w:t>
      </w:r>
    </w:p>
    <w:p w:rsidR="009926D5" w:rsidRPr="001C2F46" w:rsidRDefault="009926D5">
      <w:pPr>
        <w:rPr>
          <w:rFonts w:cstheme="minorHAnsi"/>
          <w:sz w:val="24"/>
          <w:szCs w:val="24"/>
        </w:rPr>
      </w:pPr>
    </w:p>
    <w:sectPr w:rsidR="009926D5" w:rsidRPr="001C2F46" w:rsidSect="009926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0EC9"/>
    <w:multiLevelType w:val="multilevel"/>
    <w:tmpl w:val="B0E0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C01D7"/>
    <w:multiLevelType w:val="multilevel"/>
    <w:tmpl w:val="E4F4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F7A20"/>
    <w:multiLevelType w:val="multilevel"/>
    <w:tmpl w:val="ED3A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043D2"/>
    <w:multiLevelType w:val="multilevel"/>
    <w:tmpl w:val="3F42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A673C"/>
    <w:multiLevelType w:val="multilevel"/>
    <w:tmpl w:val="69C6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090014"/>
    <w:multiLevelType w:val="multilevel"/>
    <w:tmpl w:val="5318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393D39"/>
    <w:multiLevelType w:val="multilevel"/>
    <w:tmpl w:val="D9E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283109"/>
    <w:multiLevelType w:val="multilevel"/>
    <w:tmpl w:val="E1A2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2E1733"/>
    <w:multiLevelType w:val="multilevel"/>
    <w:tmpl w:val="5E2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ED341A"/>
    <w:multiLevelType w:val="multilevel"/>
    <w:tmpl w:val="0736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EB056C"/>
    <w:multiLevelType w:val="multilevel"/>
    <w:tmpl w:val="730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9"/>
  </w:num>
  <w:num w:numId="5">
    <w:abstractNumId w:val="0"/>
  </w:num>
  <w:num w:numId="6">
    <w:abstractNumId w:val="7"/>
  </w:num>
  <w:num w:numId="7">
    <w:abstractNumId w:val="4"/>
  </w:num>
  <w:num w:numId="8">
    <w:abstractNumId w:val="10"/>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1C2F46"/>
    <w:rsid w:val="001C2F46"/>
    <w:rsid w:val="009926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D5"/>
  </w:style>
  <w:style w:type="paragraph" w:styleId="Titre3">
    <w:name w:val="heading 3"/>
    <w:basedOn w:val="Normal"/>
    <w:link w:val="Titre3Car"/>
    <w:uiPriority w:val="9"/>
    <w:qFormat/>
    <w:rsid w:val="001C2F4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C2F46"/>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1C2F46"/>
    <w:rPr>
      <w:b/>
      <w:bCs/>
    </w:rPr>
  </w:style>
  <w:style w:type="paragraph" w:styleId="NormalWeb">
    <w:name w:val="Normal (Web)"/>
    <w:basedOn w:val="Normal"/>
    <w:uiPriority w:val="99"/>
    <w:semiHidden/>
    <w:unhideWhenUsed/>
    <w:rsid w:val="001C2F4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25547805">
      <w:bodyDiv w:val="1"/>
      <w:marLeft w:val="0"/>
      <w:marRight w:val="0"/>
      <w:marTop w:val="0"/>
      <w:marBottom w:val="0"/>
      <w:divBdr>
        <w:top w:val="none" w:sz="0" w:space="0" w:color="auto"/>
        <w:left w:val="none" w:sz="0" w:space="0" w:color="auto"/>
        <w:bottom w:val="none" w:sz="0" w:space="0" w:color="auto"/>
        <w:right w:val="none" w:sz="0" w:space="0" w:color="auto"/>
      </w:divBdr>
      <w:divsChild>
        <w:div w:id="1522281476">
          <w:marLeft w:val="0"/>
          <w:marRight w:val="0"/>
          <w:marTop w:val="0"/>
          <w:marBottom w:val="0"/>
          <w:divBdr>
            <w:top w:val="none" w:sz="0" w:space="0" w:color="auto"/>
            <w:left w:val="none" w:sz="0" w:space="0" w:color="auto"/>
            <w:bottom w:val="none" w:sz="0" w:space="0" w:color="auto"/>
            <w:right w:val="none" w:sz="0" w:space="0" w:color="auto"/>
          </w:divBdr>
        </w:div>
        <w:div w:id="889730620">
          <w:marLeft w:val="0"/>
          <w:marRight w:val="0"/>
          <w:marTop w:val="0"/>
          <w:marBottom w:val="0"/>
          <w:divBdr>
            <w:top w:val="none" w:sz="0" w:space="0" w:color="auto"/>
            <w:left w:val="none" w:sz="0" w:space="0" w:color="auto"/>
            <w:bottom w:val="none" w:sz="0" w:space="0" w:color="auto"/>
            <w:right w:val="none" w:sz="0" w:space="0" w:color="auto"/>
          </w:divBdr>
        </w:div>
      </w:divsChild>
    </w:div>
    <w:div w:id="920338328">
      <w:bodyDiv w:val="1"/>
      <w:marLeft w:val="0"/>
      <w:marRight w:val="0"/>
      <w:marTop w:val="0"/>
      <w:marBottom w:val="0"/>
      <w:divBdr>
        <w:top w:val="none" w:sz="0" w:space="0" w:color="auto"/>
        <w:left w:val="none" w:sz="0" w:space="0" w:color="auto"/>
        <w:bottom w:val="none" w:sz="0" w:space="0" w:color="auto"/>
        <w:right w:val="none" w:sz="0" w:space="0" w:color="auto"/>
      </w:divBdr>
      <w:divsChild>
        <w:div w:id="1990819766">
          <w:marLeft w:val="0"/>
          <w:marRight w:val="0"/>
          <w:marTop w:val="0"/>
          <w:marBottom w:val="185"/>
          <w:divBdr>
            <w:top w:val="none" w:sz="0" w:space="0" w:color="auto"/>
            <w:left w:val="none" w:sz="0" w:space="0" w:color="auto"/>
            <w:bottom w:val="none" w:sz="0" w:space="0" w:color="auto"/>
            <w:right w:val="none" w:sz="0" w:space="0" w:color="auto"/>
          </w:divBdr>
          <w:divsChild>
            <w:div w:id="587886353">
              <w:marLeft w:val="0"/>
              <w:marRight w:val="0"/>
              <w:marTop w:val="0"/>
              <w:marBottom w:val="0"/>
              <w:divBdr>
                <w:top w:val="none" w:sz="0" w:space="0" w:color="auto"/>
                <w:left w:val="none" w:sz="0" w:space="0" w:color="auto"/>
                <w:bottom w:val="none" w:sz="0" w:space="0" w:color="auto"/>
                <w:right w:val="none" w:sz="0" w:space="0" w:color="auto"/>
              </w:divBdr>
              <w:divsChild>
                <w:div w:id="1706976277">
                  <w:marLeft w:val="0"/>
                  <w:marRight w:val="0"/>
                  <w:marTop w:val="0"/>
                  <w:marBottom w:val="0"/>
                  <w:divBdr>
                    <w:top w:val="none" w:sz="0" w:space="0" w:color="auto"/>
                    <w:left w:val="none" w:sz="0" w:space="0" w:color="auto"/>
                    <w:bottom w:val="none" w:sz="0" w:space="0" w:color="auto"/>
                    <w:right w:val="none" w:sz="0" w:space="0" w:color="auto"/>
                  </w:divBdr>
                  <w:divsChild>
                    <w:div w:id="1253276396">
                      <w:marLeft w:val="0"/>
                      <w:marRight w:val="0"/>
                      <w:marTop w:val="0"/>
                      <w:marBottom w:val="0"/>
                      <w:divBdr>
                        <w:top w:val="none" w:sz="0" w:space="0" w:color="auto"/>
                        <w:left w:val="none" w:sz="0" w:space="0" w:color="auto"/>
                        <w:bottom w:val="none" w:sz="0" w:space="0" w:color="auto"/>
                        <w:right w:val="none" w:sz="0" w:space="0" w:color="auto"/>
                      </w:divBdr>
                      <w:divsChild>
                        <w:div w:id="1845389435">
                          <w:marLeft w:val="0"/>
                          <w:marRight w:val="0"/>
                          <w:marTop w:val="0"/>
                          <w:marBottom w:val="0"/>
                          <w:divBdr>
                            <w:top w:val="none" w:sz="0" w:space="0" w:color="auto"/>
                            <w:left w:val="none" w:sz="0" w:space="0" w:color="auto"/>
                            <w:bottom w:val="none" w:sz="0" w:space="0" w:color="auto"/>
                            <w:right w:val="none" w:sz="0" w:space="0" w:color="auto"/>
                          </w:divBdr>
                          <w:divsChild>
                            <w:div w:id="15715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851498">
          <w:marLeft w:val="0"/>
          <w:marRight w:val="0"/>
          <w:marTop w:val="0"/>
          <w:marBottom w:val="0"/>
          <w:divBdr>
            <w:top w:val="none" w:sz="0" w:space="0" w:color="auto"/>
            <w:left w:val="none" w:sz="0" w:space="0" w:color="auto"/>
            <w:bottom w:val="none" w:sz="0" w:space="0" w:color="auto"/>
            <w:right w:val="none" w:sz="0" w:space="0" w:color="auto"/>
          </w:divBdr>
          <w:divsChild>
            <w:div w:id="254633323">
              <w:marLeft w:val="0"/>
              <w:marRight w:val="0"/>
              <w:marTop w:val="0"/>
              <w:marBottom w:val="0"/>
              <w:divBdr>
                <w:top w:val="none" w:sz="0" w:space="0" w:color="auto"/>
                <w:left w:val="none" w:sz="0" w:space="0" w:color="auto"/>
                <w:bottom w:val="none" w:sz="0" w:space="0" w:color="auto"/>
                <w:right w:val="none" w:sz="0" w:space="0" w:color="auto"/>
              </w:divBdr>
              <w:divsChild>
                <w:div w:id="793251741">
                  <w:marLeft w:val="0"/>
                  <w:marRight w:val="0"/>
                  <w:marTop w:val="0"/>
                  <w:marBottom w:val="0"/>
                  <w:divBdr>
                    <w:top w:val="none" w:sz="0" w:space="0" w:color="auto"/>
                    <w:left w:val="none" w:sz="0" w:space="0" w:color="auto"/>
                    <w:bottom w:val="none" w:sz="0" w:space="0" w:color="auto"/>
                    <w:right w:val="none" w:sz="0" w:space="0" w:color="auto"/>
                  </w:divBdr>
                  <w:divsChild>
                    <w:div w:id="25759930">
                      <w:marLeft w:val="0"/>
                      <w:marRight w:val="0"/>
                      <w:marTop w:val="0"/>
                      <w:marBottom w:val="0"/>
                      <w:divBdr>
                        <w:top w:val="none" w:sz="0" w:space="0" w:color="auto"/>
                        <w:left w:val="none" w:sz="0" w:space="0" w:color="auto"/>
                        <w:bottom w:val="none" w:sz="0" w:space="0" w:color="auto"/>
                        <w:right w:val="none" w:sz="0" w:space="0" w:color="auto"/>
                      </w:divBdr>
                      <w:divsChild>
                        <w:div w:id="13032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3913</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c:creator>
  <cp:lastModifiedBy>ut</cp:lastModifiedBy>
  <cp:revision>1</cp:revision>
  <dcterms:created xsi:type="dcterms:W3CDTF">2022-04-05T09:39:00Z</dcterms:created>
  <dcterms:modified xsi:type="dcterms:W3CDTF">2022-04-05T09:41:00Z</dcterms:modified>
</cp:coreProperties>
</file>